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bidi w:val="0"/>
        <w:ind w:hanging="0" w:start="0"/>
        <w:jc w:val="start"/>
        <w:outlineLvl w:val="0"/>
        <w:rPr>
          <w:b/>
          <w:color w:themeColor="text1" w:val="000000"/>
          <w:lang w:val="pl-PL"/>
        </w:rPr>
      </w:pPr>
      <w:r>
        <w:rPr>
          <w:b/>
          <w:color w:themeColor="text1" w:val="000000"/>
          <w:lang w:val="pl-PL"/>
        </w:rPr>
      </w:r>
    </w:p>
    <w:p>
      <w:pPr>
        <w:pStyle w:val="Normal"/>
        <w:numPr>
          <w:ilvl w:val="0"/>
          <w:numId w:val="0"/>
        </w:numPr>
        <w:bidi w:val="0"/>
        <w:ind w:hanging="0" w:start="0"/>
        <w:jc w:val="start"/>
        <w:outlineLvl w:val="0"/>
        <w:rPr>
          <w:b/>
          <w:color w:themeColor="text1" w:val="000000"/>
          <w:lang w:val="pl-PL"/>
        </w:rPr>
      </w:pPr>
      <w:r>
        <w:rPr>
          <w:b/>
          <w:color w:themeColor="text1" w:val="000000"/>
          <w:lang w:val="pl-PL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jc w:val="center"/>
        <w:rPr>
          <w:i/>
          <w:iCs/>
          <w:sz w:val="24"/>
          <w:szCs w:val="24"/>
        </w:rPr>
      </w:pPr>
      <w:r>
        <w:rPr>
          <w:rFonts w:eastAsia="Andale Sans UI" w:cs="Tahoma"/>
          <w:b/>
          <w:i/>
          <w:iCs/>
          <w:kern w:val="2"/>
          <w:sz w:val="24"/>
          <w:szCs w:val="24"/>
          <w:lang w:eastAsia="ja-JP" w:bidi="fa-IR"/>
          <w14:ligatures w14:val="none"/>
        </w:rPr>
        <w:t>Wymagania edukacyjne z chemii dla klasy 4 Liceum Ogólnokształcącego – zakres rozszerzony</w:t>
      </w:r>
    </w:p>
    <w:p>
      <w:pPr>
        <w:pStyle w:val="Standard"/>
        <w:rPr>
          <w:i/>
          <w:iCs/>
          <w:sz w:val="24"/>
          <w:szCs w:val="24"/>
        </w:rPr>
      </w:pPr>
      <w:bookmarkStart w:id="0" w:name="_GoBack"/>
      <w:bookmarkEnd w:id="0"/>
      <w:r>
        <w:rPr>
          <w:rFonts w:eastAsia="Andale Sans UI" w:cs="Tahoma"/>
          <w:i/>
          <w:iCs/>
          <w:kern w:val="2"/>
          <w:sz w:val="24"/>
          <w:szCs w:val="24"/>
          <w:lang w:eastAsia="ja-JP" w:bidi="fa-IR"/>
          <w14:ligatures w14:val="none"/>
        </w:rPr>
        <w:t xml:space="preserve">Podręcznik: „NOWA To jest chemia” cz. 4 - zakres rozszerzony </w:t>
      </w:r>
      <w:r>
        <w:rPr>
          <w:rFonts w:ascii="Roboto" w:hAnsi="Roboto"/>
          <w:b w:val="false"/>
          <w:i/>
          <w:iCs/>
          <w:caps w:val="false"/>
          <w:smallCaps w:val="false"/>
          <w:color w:val="000000"/>
          <w:spacing w:val="0"/>
          <w:sz w:val="24"/>
          <w:szCs w:val="24"/>
        </w:rPr>
        <w:t>Litwin Maria, Styka-Wlazło Szarota, Szymońska Joanna</w:t>
      </w:r>
    </w:p>
    <w:p>
      <w:pPr>
        <w:pStyle w:val="Standard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</w:p>
    <w:p>
      <w:pPr>
        <w:pStyle w:val="Normal"/>
        <w:numPr>
          <w:ilvl w:val="0"/>
          <w:numId w:val="0"/>
        </w:numPr>
        <w:bidi w:val="0"/>
        <w:ind w:hanging="0" w:start="0"/>
        <w:jc w:val="start"/>
        <w:outlineLvl w:val="0"/>
        <w:rPr>
          <w:b/>
          <w:color w:themeColor="text1" w:val="000000"/>
          <w:lang w:val="pl-PL"/>
        </w:rPr>
      </w:pPr>
      <w:r>
        <w:rPr>
          <w:b/>
          <w:color w:themeColor="text1" w:val="000000"/>
          <w:lang w:val="pl-PL"/>
        </w:rPr>
        <w:t>1. Jednofunkcyjne pochodne węglowodorów – aldehydy i ketony, kwasy karboksylowe, estry i tłuszcze, aminy i amidy</w:t>
      </w:r>
    </w:p>
    <w:tbl>
      <w:tblPr>
        <w:tblW w:w="14611" w:type="dxa"/>
        <w:jc w:val="start"/>
        <w:tblInd w:w="4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firstRow="1" w:noVBand="1" w:lastRow="0" w:firstColumn="1" w:lastColumn="0" w:noHBand="0"/>
      </w:tblPr>
      <w:tblGrid>
        <w:gridCol w:w="2922"/>
        <w:gridCol w:w="2922"/>
        <w:gridCol w:w="2922"/>
        <w:gridCol w:w="2922"/>
        <w:gridCol w:w="2923"/>
      </w:tblGrid>
      <w:tr>
        <w:trPr/>
        <w:tc>
          <w:tcPr>
            <w:tcW w:w="29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E8F8" w:val="clear"/>
          </w:tcPr>
          <w:p>
            <w:pPr>
              <w:pStyle w:val="Normal"/>
              <w:bidi w:val="0"/>
              <w:jc w:val="center"/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  <w:t>Ocena dopuszczająca</w:t>
            </w:r>
          </w:p>
          <w:p>
            <w:pPr>
              <w:pStyle w:val="Normal"/>
              <w:bidi w:val="0"/>
              <w:jc w:val="center"/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  <w:t>[1]</w:t>
            </w:r>
          </w:p>
        </w:tc>
        <w:tc>
          <w:tcPr>
            <w:tcW w:w="29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E8F8" w:val="clear"/>
          </w:tcPr>
          <w:p>
            <w:pPr>
              <w:pStyle w:val="Normal"/>
              <w:bidi w:val="0"/>
              <w:jc w:val="center"/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  <w:t>Ocena dostateczna</w:t>
            </w:r>
          </w:p>
          <w:p>
            <w:pPr>
              <w:pStyle w:val="Normal"/>
              <w:bidi w:val="0"/>
              <w:jc w:val="center"/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  <w:t>[1 + 2]</w:t>
            </w:r>
          </w:p>
        </w:tc>
        <w:tc>
          <w:tcPr>
            <w:tcW w:w="29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E8F8" w:val="clear"/>
          </w:tcPr>
          <w:p>
            <w:pPr>
              <w:pStyle w:val="Normal"/>
              <w:bidi w:val="0"/>
              <w:jc w:val="center"/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  <w:t>Ocena dobra</w:t>
            </w:r>
          </w:p>
          <w:p>
            <w:pPr>
              <w:pStyle w:val="Normal"/>
              <w:bidi w:val="0"/>
              <w:jc w:val="center"/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  <w:t>[1 + 2 + 3]</w:t>
            </w:r>
          </w:p>
        </w:tc>
        <w:tc>
          <w:tcPr>
            <w:tcW w:w="29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E8F8" w:val="clear"/>
          </w:tcPr>
          <w:p>
            <w:pPr>
              <w:pStyle w:val="Normal"/>
              <w:bidi w:val="0"/>
              <w:jc w:val="center"/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  <w:t>Ocena bardzo dobra</w:t>
            </w:r>
          </w:p>
          <w:p>
            <w:pPr>
              <w:pStyle w:val="Normal"/>
              <w:bidi w:val="0"/>
              <w:jc w:val="center"/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  <w:t>[1 + 2 + 3 + 4]</w:t>
            </w:r>
          </w:p>
        </w:tc>
        <w:tc>
          <w:tcPr>
            <w:tcW w:w="2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E8F8" w:val="clear"/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Normal"/>
              <w:bidi w:val="0"/>
              <w:jc w:val="center"/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  <w:t>Ocena celująca</w:t>
            </w:r>
          </w:p>
          <w:p>
            <w:pPr>
              <w:pStyle w:val="Normal"/>
              <w:bidi w:val="0"/>
              <w:jc w:val="center"/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  <w:t>[1 + 2 + 3 + 4 + 5]</w:t>
            </w:r>
          </w:p>
        </w:tc>
      </w:tr>
      <w:tr>
        <w:trPr/>
        <w:tc>
          <w:tcPr>
            <w:tcW w:w="29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user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Uczeń: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jc w:val="start"/>
              <w:rPr>
                <w:sz w:val="22"/>
                <w:szCs w:val="22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wyjaśnia pojęcia: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 aldehydy, grupa aldehydowa, grupa karbonylowa,</w:t>
            </w:r>
            <w:r>
              <w:rPr>
                <w:lang w:val="pl-PL"/>
              </w:rPr>
              <w:t xml:space="preserve">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>odczynnik Trommera, odczynnik Tollensa, próba Trommera, próba Tollensa, reakcja polimeryzacji, reakcja polikondensacji, ketony, kwasy karboksylowe, grupa karboksylowa,</w:t>
            </w:r>
            <w:r>
              <w:rPr>
                <w:lang w:val="pl-PL"/>
              </w:rPr>
              <w:t xml:space="preserve">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wyższe kwasy karboksylowe, kwasy tłuszczowe, fragment hydrofobowy, fragment hydrofilowy, estry, grupa estrowa, wiązanie estrowe, reakcja estryfikacji, hydroliza kwasowa estru, hydroliza zasadowa estru, tłuszcze, emulsja, aminy, grupa aminowa, amidy, grupa amidowa 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wzory i podaje nazwy grup funkcyjnych, które występują w związkach organicznych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podaje wzory ogólne aldehydów, ketonów, kwasów karboksylowych, estrów, tłuszczów, amin oraz amidów, na ich podstawie wyprowadza wzory sumaryczne tych związków chemicznych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wzory sumaryczne, strukturalne, półstrukturalne (grupowe) i szkieletowe oraz podaje nazwy systematyczne aldehydów, ketonów, kwasów karboksylowych i estrów zawierających do 8 atomów węgla w cząsteczce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wzory sumaryczne, strukturalne, półstrukturalne (grupowe) i szkieletowe oraz podaje nazwy systematyczne tłuszczów, amin i amidów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podaje wzór ogólny amin pierwszorzędowych, drugorzędowych i trzeciorzędowych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podaje podział tłuszczów ze względu na pochodzenie i stan skupienia</w:t>
            </w:r>
          </w:p>
        </w:tc>
        <w:tc>
          <w:tcPr>
            <w:tcW w:w="29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user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Uczeń: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podaje zasady tworzenia nazw aldehydów, ketonów, kwasów karboksylowych, estrów, tłuszczów, amin oraz amidów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wyjaśnia izomerię konstytucyjną aldehydów, ketonów, kwasów karboksylowych, wyższych kwasów karboksylowych, estrów, tłuszczów, amin oraz amidów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podaje zasady tworzenia nazw izomerów aldehydów, ketonów, kwasów karboksylowych, wyższych kwasów karboksylowych, estrów, tłuszczów, amin oraz amidów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wzory strukturalne i półstrukturalne izomerów konstytucyjnych aldehydów, ketonów, kwasów karboksylowych, wyższych kwasów karboksylowych, estrów, tłuszczów, amin oraz amidów o podanych wzorach sumarycznych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wymienia metody otrzymywania kwasów karboksylowych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wzory kwasów palmitynowego, stearynowego i oleinowego, podaje ich nazwy i wyjaśnia, dlaczego są zaliczane do wyższych kwasów karboksylowych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ustala rzędowość amin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równania reakcji spalania całkowitego i niecałkowitego aldehydów, ketonów, kwasów karboksylowych, wyższych kwasów karboksylowych, estrów, tłuszczów, amin oraz amidów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omawia budowę aldehydów, ketonów, kwasów karboksylowych, wyższych kwasów karboksylowych, estrów, tłuszczów, amin oraz amidów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wskazuje grupę karboksylową oraz resztę kwasową we wzorach kwasów karboksylowych (alifatycznych i aromatycznych)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wskazuje grupę karboksylową oraz resztę kwasową we wzorach wyższych kwasów karboksylowych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wyjaśnia izomerię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>cis-trans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 na przykładach kwasów karboksylowych i wyższych kwasów karboksylowych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równania dysocjacji elektrolitycznej kwasów karboksylowych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wymienia czynniki wpływające na moc kwasów karboksylowych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podaje nazwy substratów i produktów reakcji estryfikacji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opisuje budowę tłuszczów stałych i ciekłych jako estrów </w:t>
              <w:br/>
              <w:t>propano-1,2,3-triolu i wyższych kwasów karboksylowych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podaje nazwy substratów i produktów reakcji estryfikacji, w których otrzymuje się tłuszcze</w:t>
            </w:r>
          </w:p>
        </w:tc>
        <w:tc>
          <w:tcPr>
            <w:tcW w:w="29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user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Uczeń: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równania reakcji otrzymywania aldehydów, ketonów, kwasów karboksylowych, estrów, tłuszczów oraz amidów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omawia zmiany właściwości w szeregu homologicznym aldehydów, ketonów, kwasów karboksylowych, estrów i amin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omawia właściwości aldehydów, ketonów, kwasów karboksylowych, wyższych kwasów karboksylowych, estrów, tłuszczów, amin oraz amidów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Otrzymywanie etanalu (acetaldehydu)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oraz pisze odpowiednie równania reakcji chemicznych i 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Badanie właściwości etanalu (acetaldehydu)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i 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Reakcja metanalu (formaldehydu) z wodorotlenkiem diaminasrebra(I) – próba Tollensa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oraz pisze odpowiednie równania reakcji chemicznych i 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Reakcja metanalu (formaldehydu) z wodorotlenkiem miedzi(II) – próba Trommera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oraz pisze odpowiednie równania reakcji chemicznych i 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równania reakcji utleniania alkoholi pierwszorzędowych z zastosowaniem słabego utleniacza, np. CuO, w podwyższonej temperaturze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równania reakcji aldehydu z odczynnikiem Tollensa i odczynnikiem Trommera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pisze równanie polimeryzacji metanalu 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Reakcja metanalu (formaldehydu) z fenolem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i formułuje wniosek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bidi w:val="0"/>
              <w:ind w:hanging="142" w:start="142"/>
              <w:jc w:val="start"/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</w:pPr>
            <w:r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  <w:t>pisze równania reakcji utleniania alkoholi drugorzędowych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Badanie właściwości propan-2-onu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i 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Badanie właściwości redukujących propan-2-onu – próba Tollensa i próba Trommera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i 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>Fermentacja octowa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 i 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równania reakcji utleniania alkoholi pierwszorzędowych z zastosowaniem mocnego utleniacza w środowisku kwasowym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>Badanie właściwości kwasów karboksylowych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 oraz pisze odpowiednie równania reakcji chemicznych i 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Reakcja kwasu etanowego z magnezem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oraz pisze odpowiednie równania reakcji chemicznych i 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Reakcja kwasu etanowego z tlenkiem miedzi(II)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oraz pisze odpowiednie równania reakcji chemicznych i 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>Reakcja kwasu etanowego z wodorotlenkiem sodu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 oraz pisze odpowiednie równania reakcji chemicznych i 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równania reakcji kwasu karboksylowego z metalami, tlenkami metali i wodorotlenkami metali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>Porównanie mocy kwasów: etanowego, węglowego i siarkowego(VI)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 oraz pisze odpowiednie równania reakcji chemicznych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>Badanie właściwości wyższych kwasów karboksylowych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 oraz pisze odpowiednie równania reakcji chemicznych i 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wyjaśnia, jak odróżnić wyższe kwasy nienasycone od kwasów nasyconych 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Reakcja kwasu oktadekanowego (kwasu stearynowego) z wodorotlenkiem sodu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oraz pisze odpowiednie równania reakcji chemicznych i 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równania reakcji wyższych kwasów karboksylowych z wodorotlenkami metali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>Reakcja etanolu z kwasem etanowym (kwasem octowym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) oraz pisze odpowiednie równania reakcji chemicznych i 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przeprowadza reakcję estryfikacji, zapisuje równanie reakcji alkoholu z kwasem karboksylowym i wyjaśnia rolę stężonego roztworu kwasu siarkowego(VI) w tej reakcji chemicznej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Badanie właściwości chemicznych etanianu etylu (octanu etylu)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oraz pisze odpowiednie równania reakcji chemicznych i 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równania polimeryzacji i polikondensacji estrów kwasów karboksylowych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Badanie właściwości tłuszczów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i 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Działanie wody bromowej na olej roślinny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i 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równania reakcji hydrolizy tłuszczów w środowisku kwasowym i zasadowym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Hydroliza zasadowa tłuszczów (zmydlanie tłuszczów)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oraz pisze odpowiednie równania reakcji chemicznych i 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>Badanie właściwości amin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 i 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Reakcja aniliny z kwasem chlorowodorowym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oraz pisze odpowiednie równania reakcji chemicznych i 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Reakcja aniliny z wodą bromową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oraz pisze odpowiednie równania reakcji chemicznych i 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Reakcja chlorku anilinium z wodorotlenkiem sodu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oraz pisze odpowiednie równania reakcji chemicznych i 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równania reakcji amin z wodą, kwasem nieorganicznym i kwasem karboksylowym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>Reakcja hydrolizy etanoamidu (acetamidu) w środowisku kwasu siarkowego(VI) i z wodorotlenkiem sodu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 oraz pisze odpowiednie równania reakcji chemicznych i formułuje wniosek</w:t>
            </w:r>
          </w:p>
        </w:tc>
        <w:tc>
          <w:tcPr>
            <w:tcW w:w="29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user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Uczeń: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spacing w:before="58" w:after="58"/>
              <w:jc w:val="start"/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</w:pPr>
            <w:r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  <w:t>wyjaśnia przebieg reakcji polimeryzacji aldehydów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spacing w:before="58" w:after="58"/>
              <w:jc w:val="start"/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</w:pPr>
            <w:r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  <w:t xml:space="preserve">opisuje udział metanalu w reakcji polikondensacji z fenolem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jc w:val="start"/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</w:pPr>
            <w:r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  <w:t>porównuje metody otrzymywania aldehydów i ketonów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porównuje budowę oraz właściwości aldehydów i ketonów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jc w:val="start"/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</w:pPr>
            <w:r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  <w:t>projektuje i przeprowadza doświadczenia chemiczne umożliwiające odróżnienie aldehydu od ketonu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jc w:val="start"/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wyjaśnia pojęcie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>próba jodoformowa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jc w:val="start"/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omawia reakcje charakterystyczne metyloketonów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jc w:val="start"/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</w:pPr>
            <w:r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  <w:t>podaje nazwy jonów, które powstają w dysocjacji elektrolitycznej kwasów karboksylowych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jc w:val="start"/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</w:pPr>
            <w:r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  <w:t>pisze równania reakcji zachodzących podczas hydrolizy soli kwasów karboksylowych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false"/>
              <w:bidi w:val="0"/>
              <w:spacing w:before="0" w:after="0"/>
              <w:contextualSpacing/>
              <w:jc w:val="start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porównuje moc kwasów karboksylowych i kwasów nieorganicznych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jc w:val="start"/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</w:pPr>
            <w:r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  <w:t>wymienia podobieństwa i różnice we właściwościach poznanych kwasów karboksylowych i kwasów nieorganicznych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jc w:val="start"/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</w:pPr>
            <w:r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  <w:t xml:space="preserve">opisuje budowę mydeł jako soli wyższych kwasów karboksylowych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jc w:val="start"/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</w:pPr>
            <w:r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  <w:t>wyjaśnia budowę substancji powierzchniowo czynnych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jc w:val="start"/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</w:pPr>
            <w:r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  <w:t>zaznacza fragmenty hydrofobowe i hydrofilowe we wzorach cząsteczek substancji powierzchniowo czynnych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jc w:val="start"/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</w:pPr>
            <w:r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  <w:t>omawia wpływ stosowania środków czystości na środowisko przyrodnicze</w:t>
            </w:r>
          </w:p>
          <w:p>
            <w:pPr>
              <w:pStyle w:val="ListParagraph"/>
              <w:numPr>
                <w:ilvl w:val="0"/>
                <w:numId w:val="1"/>
              </w:numPr>
              <w:bidi w:val="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wyjaśnia przebieg reakcji polimeryzacji i polikondensacji estrów kwasów karboksylowych</w:t>
            </w:r>
          </w:p>
          <w:p>
            <w:pPr>
              <w:pStyle w:val="ListParagraph"/>
              <w:numPr>
                <w:ilvl w:val="0"/>
                <w:numId w:val="1"/>
              </w:numPr>
              <w:bidi w:val="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omawia przebieg reakcji hydrolizy estru w środowiskach zasadowym i kwasowym oraz pisze odpowiednie równania reakcji chemicznych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jc w:val="start"/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</w:pPr>
            <w:r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  <w:t>planuje ciąg przemian umożliwiających otrzymanie etanianu etylu (octanu etylu) z etynu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jc w:val="start"/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</w:pPr>
            <w:r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  <w:t>wykonuje obliczenia związane z wydajnością reakcji estryfikacji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jc w:val="start"/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</w:pPr>
            <w:r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  <w:t>bada właściwości i charakter chemiczny tłuszczów nasyconych i nienasyconych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jc w:val="start"/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</w:pPr>
            <w:r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  <w:t>wyjaśnia tworzenie się emulsji</w:t>
            </w:r>
          </w:p>
          <w:p>
            <w:pPr>
              <w:pStyle w:val="ListParagraph"/>
              <w:numPr>
                <w:ilvl w:val="0"/>
                <w:numId w:val="1"/>
              </w:numPr>
              <w:bidi w:val="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omawia przebieg hydrolizy tłuszczu w środowiskach zasadowym i kwasowym</w:t>
            </w:r>
          </w:p>
          <w:p>
            <w:pPr>
              <w:pStyle w:val="ListParagraph"/>
              <w:numPr>
                <w:ilvl w:val="0"/>
                <w:numId w:val="1"/>
              </w:numPr>
              <w:bidi w:val="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porównuje budowę amin i wskazuje aminy pierwszo-, drugo- i trzeciorzędowe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jc w:val="start"/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</w:pPr>
            <w:r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  <w:t>porównuje budowę oraz właściwości amoniaku i amin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jc w:val="start"/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</w:pPr>
            <w:r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  <w:t>porównuje właściwości amin</w:t>
            </w:r>
          </w:p>
          <w:p>
            <w:pPr>
              <w:pStyle w:val="Normal"/>
              <w:widowControl w:val="false"/>
              <w:bidi w:val="0"/>
              <w:ind w:start="170"/>
              <w:jc w:val="start"/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</w:pPr>
            <w:r>
              <w:rPr>
                <w:rFonts w:eastAsia="Andale Sans UI" w:cs="Tahoma"/>
                <w:color w:themeColor="text1" w:val="000000"/>
                <w:kern w:val="2"/>
                <w:sz w:val="18"/>
                <w:szCs w:val="18"/>
                <w:lang w:val="pl-PL" w:eastAsia="ja-JP" w:bidi="fa-IR"/>
              </w:rPr>
              <w:t>alifatycznych i aromatycznych</w:t>
            </w:r>
          </w:p>
          <w:p>
            <w:pPr>
              <w:pStyle w:val="ListParagraph"/>
              <w:numPr>
                <w:ilvl w:val="0"/>
                <w:numId w:val="1"/>
              </w:numPr>
              <w:bidi w:val="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wyjaśnia przyczynę zasadowych właściwości amoniaku i amin, zapisuje odpowiednie równania reakcji chemicznych</w:t>
            </w:r>
          </w:p>
          <w:p>
            <w:pPr>
              <w:pStyle w:val="ListParagraph"/>
              <w:numPr>
                <w:ilvl w:val="0"/>
                <w:numId w:val="1"/>
              </w:numPr>
              <w:bidi w:val="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porównuje właściwości amin i amidów</w:t>
            </w:r>
          </w:p>
          <w:p>
            <w:pPr>
              <w:pStyle w:val="ListParagraph"/>
              <w:numPr>
                <w:ilvl w:val="0"/>
                <w:numId w:val="1"/>
              </w:numPr>
              <w:bidi w:val="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równania reakcji kondensacji diamin z kwasami dikarboksylowymi</w:t>
            </w:r>
          </w:p>
          <w:p>
            <w:pPr>
              <w:pStyle w:val="ListParagraph"/>
              <w:numPr>
                <w:ilvl w:val="0"/>
                <w:numId w:val="1"/>
              </w:numPr>
              <w:bidi w:val="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projektuje i przeprowadza doświadczenia chemiczne umożliwiające zbadanie odczynu wodnego roztworu acetamidu</w:t>
            </w:r>
          </w:p>
        </w:tc>
        <w:tc>
          <w:tcPr>
            <w:tcW w:w="2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Zawartotabeliuser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Uczeń: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62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wyszukuje, porządkuje, porównuje i prezentuje informacje o metodach otrzymywania aldehydów i ketonów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62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wyszukuje, porządkuje i prezentuje informacje o zastosowaniach aldehydów, ketonów, kwasów karboksylowych, wyższych kwasów karboksylowych, estrów i tłuszczów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62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wyszukuje, porządkuje i prezentuje informacje o właściwościach fizycznych i chemicznych aldehydów, ketonów, estrów i tłuszczów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62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wyszukuje, porządkuje, porównuje i prezentuje informacje o procesach zachodzących podczas produkcji wina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62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wyszukuje, porządkuje i prezentuje informacje o procesie usuwania brudu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62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wyszukuje, porządkuje, porównuje i prezentuje informacje o toksycznych właściwościach nikotyny i jej wpływie na organizm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62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wyszukuje, porządkuje, porównuje i prezentuje informacje na temat składników zawartych w kawie i herbacie oraz ich działaniu na organizm ludzki</w:t>
            </w:r>
          </w:p>
          <w:p>
            <w:pPr>
              <w:pStyle w:val="ListParagraph"/>
              <w:numPr>
                <w:ilvl w:val="0"/>
                <w:numId w:val="1"/>
              </w:numPr>
              <w:bidi w:val="0"/>
              <w:ind w:hanging="162" w:start="17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Mocznik jako pochodna kwasu węglowego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oraz pisze odpowiednie równania reakcji chemicznych i formułuje wniosek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62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projektuje i przeprowadza doświadczenie, którego celem jest identyfikacja różnych związków (jednofunkcyjnych pochodnych węglowodorów) znajdujących się w nieopisanych naczyniach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62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projektuje i przeprowadza doświadczenie, którego celem jest utlenienie odpowiedniego węglowodoru lub jego pochodnej przy użyciu odpowiednich utleniaczy (KMnO</w:t>
            </w:r>
            <w:r>
              <w:rPr>
                <w:color w:themeColor="text1" w:val="000000"/>
                <w:sz w:val="18"/>
                <w:szCs w:val="18"/>
                <w:vertAlign w:val="subscript"/>
                <w:lang w:val="pl-PL"/>
              </w:rPr>
              <w:t>4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, K</w:t>
            </w:r>
            <w:r>
              <w:rPr>
                <w:color w:themeColor="text1" w:val="000000"/>
                <w:sz w:val="18"/>
                <w:szCs w:val="18"/>
                <w:vertAlign w:val="subscript"/>
                <w:lang w:val="pl-PL"/>
              </w:rPr>
              <w:t>2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Cr</w:t>
            </w:r>
            <w:r>
              <w:rPr>
                <w:color w:themeColor="text1" w:val="000000"/>
                <w:sz w:val="18"/>
                <w:szCs w:val="18"/>
                <w:vertAlign w:val="subscript"/>
                <w:lang w:val="pl-PL"/>
              </w:rPr>
              <w:t>2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O</w:t>
            </w:r>
            <w:r>
              <w:rPr>
                <w:color w:themeColor="text1" w:val="000000"/>
                <w:sz w:val="18"/>
                <w:szCs w:val="18"/>
                <w:vertAlign w:val="subscript"/>
                <w:lang w:val="pl-PL"/>
              </w:rPr>
              <w:t>7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); pisze i uzgadnia równania reakcji, stosując metodę bilansu jonowo-elektronowego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62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wykonuje problemowe zadania dotyczące ustalenia wzoru empirycznego i rzeczywistego jednofunkcyjnej pochodnej węglowodoru</w:t>
            </w:r>
          </w:p>
          <w:p>
            <w:pPr>
              <w:pStyle w:val="Zawartotabeliuser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</w:r>
          </w:p>
        </w:tc>
      </w:tr>
    </w:tbl>
    <w:p>
      <w:pPr>
        <w:sectPr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numPr>
          <w:ilvl w:val="0"/>
          <w:numId w:val="0"/>
        </w:numPr>
        <w:bidi w:val="0"/>
        <w:ind w:hanging="0" w:start="0"/>
        <w:jc w:val="start"/>
        <w:outlineLvl w:val="0"/>
        <w:rPr>
          <w:b/>
          <w:bCs/>
          <w:color w:themeColor="text1" w:val="000000"/>
          <w:lang w:val="pl-PL"/>
        </w:rPr>
      </w:pPr>
      <w:r>
        <w:rPr>
          <w:b/>
          <w:bCs/>
          <w:color w:themeColor="text1" w:val="000000"/>
          <w:lang w:val="pl-PL"/>
        </w:rPr>
        <w:t>2. Wielofunkcyjne pochodne węglowodorów</w:t>
      </w:r>
    </w:p>
    <w:p>
      <w:pPr>
        <w:pStyle w:val="Normal"/>
        <w:bidi w:val="0"/>
        <w:jc w:val="start"/>
        <w:rPr>
          <w:b/>
          <w:bCs/>
          <w:color w:themeColor="text1" w:val="000000"/>
          <w:sz w:val="12"/>
          <w:szCs w:val="12"/>
          <w:lang w:val="pl-PL"/>
        </w:rPr>
      </w:pPr>
      <w:r>
        <w:rPr>
          <w:b/>
          <w:bCs/>
          <w:color w:themeColor="text1" w:val="000000"/>
          <w:sz w:val="12"/>
          <w:szCs w:val="12"/>
          <w:lang w:val="pl-PL"/>
        </w:rPr>
      </w:r>
    </w:p>
    <w:tbl>
      <w:tblPr>
        <w:tblW w:w="14611" w:type="dxa"/>
        <w:jc w:val="start"/>
        <w:tblInd w:w="4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firstRow="1" w:noVBand="1" w:lastRow="0" w:firstColumn="1" w:lastColumn="0" w:noHBand="0"/>
      </w:tblPr>
      <w:tblGrid>
        <w:gridCol w:w="2922"/>
        <w:gridCol w:w="2922"/>
        <w:gridCol w:w="2922"/>
        <w:gridCol w:w="2922"/>
        <w:gridCol w:w="2923"/>
      </w:tblGrid>
      <w:tr>
        <w:trPr>
          <w:trHeight w:val="517" w:hRule="atLeast"/>
        </w:trPr>
        <w:tc>
          <w:tcPr>
            <w:tcW w:w="29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E8F8" w:val="clear"/>
          </w:tcPr>
          <w:p>
            <w:pPr>
              <w:pStyle w:val="Normal"/>
              <w:bidi w:val="0"/>
              <w:jc w:val="center"/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  <w:t>Ocena dopuszczająca</w:t>
            </w:r>
          </w:p>
          <w:p>
            <w:pPr>
              <w:pStyle w:val="Normal"/>
              <w:bidi w:val="0"/>
              <w:jc w:val="center"/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  <w:t>[1]</w:t>
            </w:r>
          </w:p>
        </w:tc>
        <w:tc>
          <w:tcPr>
            <w:tcW w:w="29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E8F8" w:val="clear"/>
          </w:tcPr>
          <w:p>
            <w:pPr>
              <w:pStyle w:val="Normal"/>
              <w:bidi w:val="0"/>
              <w:jc w:val="center"/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  <w:t>Ocena dostateczna</w:t>
            </w:r>
          </w:p>
          <w:p>
            <w:pPr>
              <w:pStyle w:val="Normal"/>
              <w:bidi w:val="0"/>
              <w:jc w:val="center"/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  <w:t>[1 + 2]</w:t>
            </w:r>
          </w:p>
        </w:tc>
        <w:tc>
          <w:tcPr>
            <w:tcW w:w="29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E8F8" w:val="clear"/>
          </w:tcPr>
          <w:p>
            <w:pPr>
              <w:pStyle w:val="Normal"/>
              <w:bidi w:val="0"/>
              <w:jc w:val="center"/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  <w:t>Ocena dobra</w:t>
            </w:r>
          </w:p>
          <w:p>
            <w:pPr>
              <w:pStyle w:val="Normal"/>
              <w:bidi w:val="0"/>
              <w:jc w:val="center"/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  <w:t>[1 + 2 + 3]</w:t>
            </w:r>
          </w:p>
        </w:tc>
        <w:tc>
          <w:tcPr>
            <w:tcW w:w="29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E8F8" w:val="clear"/>
          </w:tcPr>
          <w:p>
            <w:pPr>
              <w:pStyle w:val="Normal"/>
              <w:bidi w:val="0"/>
              <w:jc w:val="center"/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  <w:t>Ocena bardzo dobra</w:t>
            </w:r>
          </w:p>
          <w:p>
            <w:pPr>
              <w:pStyle w:val="Normal"/>
              <w:bidi w:val="0"/>
              <w:jc w:val="center"/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  <w:t>[1 + 2 + 3 + 4]</w:t>
            </w:r>
          </w:p>
        </w:tc>
        <w:tc>
          <w:tcPr>
            <w:tcW w:w="2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E8F8" w:val="clear"/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Normal"/>
              <w:bidi w:val="0"/>
              <w:jc w:val="center"/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  <w:t>Ocena celująca</w:t>
            </w:r>
          </w:p>
          <w:p>
            <w:pPr>
              <w:pStyle w:val="Normal"/>
              <w:bidi w:val="0"/>
              <w:jc w:val="center"/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b/>
                <w:bCs/>
                <w:color w:themeColor="text1" w:val="000000"/>
                <w:sz w:val="18"/>
                <w:szCs w:val="18"/>
                <w:lang w:val="pl-PL"/>
              </w:rPr>
              <w:t>[1 + 2 + 3 + 4 + 5]</w:t>
            </w:r>
          </w:p>
        </w:tc>
      </w:tr>
      <w:tr>
        <w:trPr/>
        <w:tc>
          <w:tcPr>
            <w:tcW w:w="29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user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  <w:t>Uczeń: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wyjaśnia pojęcia: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>izomeria, stereoizomeria, centrum chiralności, chiralność, enancjomery, diastereoizomery, hydroksykwasy, fermentacja mlekowa, lakton, laktyd, aminokwasy, α-aminokwas, aminokwas białkowy, punkt izoelektryczny, jon obojnaczy, wiązanie peptydowe, reakcja kondensacji, hydroliza peptydu, białka, wysalanie, białka, denaturacja, peptyzacja, sacharydy, monosacharydy, oligosacharydy, polisacharydy, polihydroksyaldehydy, polihydroksyketony, wiązanie półacetalowe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wskazuje centrum chiralności (asymetryczny atom węgla)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  <w:t>pisze wzory i podaje nazwy grup funkcyjnych, które występują w związkach organicznych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</w:t>
            </w:r>
            <w:r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  <w:t>odaje wzory ogólne hydroksykwasów oraz sacharydów i na ich podstawie wyprowadza wzory sumaryczne tych związków chemicznych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  <w:t>pisze wzory sumaryczne, strukturalne, półstrukturalne (grupowe) i szkieletowe oraz podaje nazwy systematyczne hydroksykwasów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podaje podział hydroksykwasów ze względu na liczbę grup hydroksylowych oraz grup karboksylowych w cząsteczce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  <w:t xml:space="preserve">pisze wzór ogólny </w:t>
            </w:r>
            <w:r>
              <w:rPr>
                <w:rFonts w:cs="Times New Roman"/>
                <w:i/>
                <w:iCs/>
                <w:color w:themeColor="text1" w:val="000000"/>
                <w:sz w:val="18"/>
                <w:szCs w:val="18"/>
                <w:lang w:val="pl-PL"/>
              </w:rPr>
              <w:t>α</w:t>
            </w:r>
            <w:r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  <w:t>-aminokwasów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  <w:t>podaje nazwy grup funkcyjnych występujących w cząsteczkach aminokwasów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  <w:t xml:space="preserve">podaje podział aminokwasów ze względu na liczbę grup aminowych oraz grup karboksylowych w cząsteczce 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podaje podział białek ze względu na skład łańcucha polipeptydowego oraz zdolność białek do rozpuszczania się w wodzie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podaje skład pierwiastkowy białek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podaje podział sacharydów ze względu na budowę cząsteczek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42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omawia skład pierwiastkowy sacharydów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podaje podział monosacharydów ze względu na rodzaj grupy funkcyjnej i liczbę atomów węgla w cząsteczce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podaje przykłady polisacharydów</w:t>
            </w:r>
          </w:p>
        </w:tc>
        <w:tc>
          <w:tcPr>
            <w:tcW w:w="29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user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  <w:t>Uczeń: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wyjaśnia, na czym polega izomeria optyczna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podaje zasady tworzenia nazw hydroksykwasów, monosacharydów, disacharydów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wyjaśnia izomerię konstytucyjną hydroksykwasów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podaje zasady tworzenia nazw izomerów hydroksykwasów, monosacharydów i disacharydów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wzory strukturalne i półstrukturalne izomerów konstytucyjnych hydroksykwasów o podanych nazwach oraz rysuje wzory enancjomerów na podstawie wzoru strukturalnego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wyjaśnia izomerię konstytucyjną i optyczną hydroksykwasów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42" w:start="142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omawia budowę hydroksykwasów, aminokwasów, aminokwasów białkowych (α-aminokwasy szeregu konfiguracyjnego L) i sacharydów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42" w:start="142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wyjaśnia różnicę między wysalaniem a denaturacją białka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42" w:start="142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wymienia czynniki powodujące wysalanie białek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42" w:start="142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wyjaśnia izomerię monosacharydów i disacharydów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42" w:start="142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pisze wzory łańcuchowe glukozy i fruktozy w projekcji Fischera 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42" w:start="142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pisze wzory taflowe (Hawortha) anomerów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>α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 i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>β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 glukozy i fruktozy oraz wskazuje wiązanie półacetalowe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42" w:start="142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wyjaśnia, co oznacza, że naturalne monosacharydy należą do szeregu konfiguracyjnego D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42" w:start="142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równania reakcji spalania sacharydów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42" w:start="142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wzory taflowe sacharozy i maltozy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42" w:start="142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wskazuje wiązanie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>O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-glikozydowe we wzorach taflowych cząsteczek sacharozy i maltozy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42" w:start="142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zaznacza reszty glukozy i fruktozy w podanych wzorach disacharydów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42" w:start="142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zaznacza reszty glukozy i fruktozy w podanych wzorach polisacharydów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42" w:start="142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omawia budowę cząsteczek skrobi i celulozy</w:t>
            </w:r>
          </w:p>
        </w:tc>
        <w:tc>
          <w:tcPr>
            <w:tcW w:w="29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user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  <w:t>Uczeń: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omawia zasadę pomiaru czynności optycznej związku chemicznego 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analizuje, czy cząsteczka o podanym wzorze stereochemicznym jest chiralna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analizuje, czy w cząsteczce związku chemicznego o podanej nazwie lub o podanym wzorze może występować</w:t>
            </w:r>
            <w:r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  <w:t xml:space="preserve"> izomeria optyczna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wyjaśnia konfigurację względną i konfigurację absolutną enancjomerów D i L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rozróżnia równocenne i nierównocenne atomy węgla w cząsteczce enancjomeru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omawia sposoby otrzymywania hydroksykwasów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omawia właściwości kwasowo-zasadowe aminokwasów 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>Badanie właściwości kwasu aminoetanowego (kwasu aminooctowego, glicyny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) i formułuje wniosek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równanie reakcji kondensacji cząsteczek aminokwasów o podanych wzorach i wskazuje w otrzymanym produkcie wiązanie peptydowe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wzory dipeptydów i tripeptydów powstających z podanych aminokwasów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>Badanie procesu wysalania białka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 i formułuje wniosek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Badanie działania różnych substancji i wysokiej temperatury na mieszaninę białka z wodą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i formułuje wniosek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Reakcja biuretowa – wykrywanie wiązań peptydowych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i formułuje wniosek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Reakcja ksantoproteinowa – wykrywanie reszt aminokwasów aromatycznych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i formułuje wniosek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Badanie składu pierwiastkowego sacharydów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i formułuje wniosek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Badanie właściwości glukozy i fruktozy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i formułuje wniosek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Reakcja spalania glukozy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i formułuje wniosek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Wykrywanie obecności grup hydroksylowych w cząsteczce glukozy – reakcja z wodorotlenkiem miedzi(II)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oraz pisze odpowiednie równania reakcji chemicznych i formułuje wniosek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Badanie właściwości redukujących glukozy – próba Trommera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oraz pisze odpowiednie równania reakcji chemicznych i formułuje wniosek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Badanie właściwości redukujących glukozy – próba Tollensa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oraz pisze odpowiednie równania reakcji chemicznych i formułuje wniosek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Odróżnianie glukozy od fruktozy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oraz pisze odpowiednie równania reakcji chemicznych i formułuje wniosek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Badanie właściwości sacharozy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i formułuje wniosek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Badanie właściwości redukujących sacharozy – próba Trommera i próba Tollensa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i formułuje wniosek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Wykrywanie produktów reakcji hydrolizy sacharozy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i formułuje wniosek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Badanie właściwości redukujących maltozy – próba Tollensa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i formułuje wniosek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Badanie właściwości skrobi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i formułuje wniosek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Hydroliza kwasowa skrobi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i formułuje wniosek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Reakcja skrobi z jodem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i formułuje wniosek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Wykrywanie skrobi w artykułach spożywczych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i formułuje wniosek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90" w:start="190"/>
              <w:jc w:val="start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 xml:space="preserve">Badanie właściwości celulozy 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>i formułuje wniosek</w:t>
            </w:r>
          </w:p>
          <w:p>
            <w:pPr>
              <w:pStyle w:val="Normal"/>
              <w:bidi w:val="0"/>
              <w:ind w:start="-17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</w:r>
          </w:p>
        </w:tc>
        <w:tc>
          <w:tcPr>
            <w:tcW w:w="29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user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  <w:t>Uczeń: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89" w:start="19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pisze wzory perspektywiczne i projekcyjne Fischera wybranych związków chemicznych 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9" w:start="190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pisze wzory taflowe monosacharydów na podstawie wzoru łańcuchowego oraz wzór łańcuchowy na podstawie wzoru taflowego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89" w:start="19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porównuje właściwości enancjomerów i diastereoizomerów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89" w:start="19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wyjaśnia na podstawie wzoru strukturalnego Aspiryny, dlaczego ten związek chemiczny jest nazywany kwasem acetylosalicylowym i jest zaliczany do estrów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61" w:start="19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przedstawia mechanizm powstawania jonu obojnaczego aminokwasu 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  <w:t>wyjaśnia proces hydrolizy peptydów i zapisuje równanie reakcji hydrolizy dipeptydu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  <w:t>projektuje i przeprowadza różne doświadczenia chemiczne umożliwiające wykrycie białka w produktach spożywczych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  <w:t>porównuje budowę oraz właściwości glukozy i fruktozy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  <w:t>porównuje doświadczalnie właściwości sacharozy i maltozy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  <w:t>porównuje budowę oraz właściwości redukujące sacharozy i maltozy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  <w:t>pisze uproszczone równanie reakcji hydrolizy polisacharydów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  <w:t>porównuje budowę oraz właściwości skrobi i celulozy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1" w:start="181"/>
              <w:textAlignment w:val="auto"/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rFonts w:cs="Times New Roman"/>
                <w:color w:themeColor="text1" w:val="000000"/>
                <w:sz w:val="18"/>
                <w:szCs w:val="18"/>
                <w:lang w:val="pl-PL"/>
              </w:rPr>
              <w:t>wymienia sposoby zagospodarowania odpadów</w:t>
            </w:r>
          </w:p>
        </w:tc>
        <w:tc>
          <w:tcPr>
            <w:tcW w:w="2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Normal"/>
              <w:bidi w:val="0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Uczeń: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82" w:start="235"/>
              <w:jc w:val="start"/>
              <w:rPr>
                <w:rFonts w:eastAsia="Times New Roman" w:cs="Times New Roman"/>
                <w:color w:themeColor="text1" w:val="000000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18"/>
                <w:szCs w:val="18"/>
                <w:lang w:val="pl-PL" w:eastAsia="en-US" w:bidi="ar-SA"/>
              </w:rPr>
              <w:t xml:space="preserve">wyszukuje, porządkuje i prezentuje informacje o możliwości tworzenia przez hydroksykwasy estrów międzycząsteczkowych </w:t>
              <w:br/>
              <w:t>(laktydów, poliestrów) i wewnątrzcząsteczkowych (laktonów)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ind w:hanging="182" w:start="235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wyszukuje, porządkuje, porównuje i prezentuje informacje o procesach zachodzących podczas otrzymywania kwaśnego mleka, jogurtów i serów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ind w:hanging="182" w:start="235"/>
              <w:jc w:val="start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wyszukuje, porządkuje i prezentuje informacje o właściwościach i zastosowaniach hydroksykwasów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82" w:start="235"/>
              <w:jc w:val="start"/>
              <w:rPr>
                <w:rFonts w:eastAsia="Times New Roman" w:cs="Times New Roman"/>
                <w:color w:themeColor="text1" w:val="000000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18"/>
                <w:szCs w:val="18"/>
                <w:lang w:val="pl-PL" w:eastAsia="en-US" w:bidi="ar-SA"/>
              </w:rPr>
              <w:t>wyszukuje, porządkuje, porównuje i prezentuje informacje o właściwościach leczniczych i toksycznych składników popularnych leków, np. kwasu acetylosalicylowego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82" w:start="235"/>
              <w:jc w:val="start"/>
              <w:rPr>
                <w:rFonts w:eastAsia="Times New Roman" w:cs="Times New Roman"/>
                <w:color w:themeColor="text1" w:val="000000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wyszukuje, porządkuje, porównuje i prezentuje informacje o budowie białek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82" w:start="235"/>
              <w:jc w:val="start"/>
              <w:rPr>
                <w:rFonts w:eastAsia="Times New Roman" w:cs="Times New Roman"/>
                <w:color w:themeColor="text1" w:val="000000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wyszukuje, porządkuje, porównuje i prezentuje informacje o właściwościach fizycznych, znaczeniu i zastosowaniach białek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82" w:start="235"/>
              <w:jc w:val="start"/>
              <w:rPr>
                <w:rFonts w:eastAsia="Times New Roman" w:cs="Times New Roman"/>
                <w:color w:themeColor="text1" w:val="000000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wyszukuje, porządkuje, porównuje i prezentuje informacje o budowie drugorzędowej (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>α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- i </w:t>
            </w:r>
            <w:r>
              <w:rPr>
                <w:i/>
                <w:iCs/>
                <w:color w:themeColor="text1" w:val="000000"/>
                <w:sz w:val="18"/>
                <w:szCs w:val="18"/>
                <w:lang w:val="pl-PL"/>
              </w:rPr>
              <w:t>β</w:t>
            </w:r>
            <w:r>
              <w:rPr>
                <w:color w:themeColor="text1" w:val="000000"/>
                <w:sz w:val="18"/>
                <w:szCs w:val="18"/>
                <w:lang w:val="pl-PL"/>
              </w:rPr>
              <w:t xml:space="preserve">-) oraz trzeciorzędowej (wiązania jonowe, mostki disiarczkowe, wiązania wodorowe i oddziaływania </w:t>
              <w:br/>
              <w:t>van der Waalsa) białek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82" w:start="235"/>
              <w:jc w:val="start"/>
              <w:rPr>
                <w:rFonts w:eastAsia="Times New Roman" w:cs="Times New Roman"/>
                <w:color w:themeColor="text1" w:val="000000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18"/>
                <w:szCs w:val="18"/>
                <w:lang w:val="pl-PL" w:eastAsia="en-US" w:bidi="ar-SA"/>
              </w:rPr>
              <w:t>wyszukuje, porządkuje i prezentuje informacje o pochodzeniu cukrów prostych, zawartych np. w owocach (fotosynteza)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ind w:hanging="182" w:start="235"/>
              <w:jc w:val="start"/>
              <w:rPr>
                <w:rFonts w:eastAsia="Times New Roman" w:cs="Times New Roman"/>
                <w:color w:themeColor="text1" w:val="000000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18"/>
                <w:szCs w:val="18"/>
                <w:lang w:val="pl-PL" w:eastAsia="en-US" w:bidi="ar-SA"/>
              </w:rPr>
              <w:t>wyszukuje, porządkuje, porównuje i prezentuje informacje na temat składników zawartych w mleku oraz ich działaniu na organizm ludzki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2" w:start="235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projektuje i przeprowadza doświadczenie, którego celem jest identyfikacja różnych grup funkcyjnych w związkach wielofunkcyjnych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2" w:start="235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projektuje i przeprowadza doświadczenie, którego celem jest identyfikacja różnych związków wielofunkcyjnych znajdujących się w nieopisanych naczyniach</w:t>
            </w:r>
          </w:p>
          <w:p>
            <w:pPr>
              <w:pStyle w:val="Zawartotabeliuser"/>
              <w:numPr>
                <w:ilvl w:val="0"/>
                <w:numId w:val="2"/>
              </w:numPr>
              <w:ind w:hanging="182" w:start="235"/>
              <w:textAlignment w:val="auto"/>
              <w:rPr>
                <w:color w:themeColor="text1" w:val="000000"/>
                <w:sz w:val="18"/>
                <w:szCs w:val="18"/>
                <w:lang w:val="pl-PL"/>
              </w:rPr>
            </w:pPr>
            <w:r>
              <w:rPr>
                <w:color w:themeColor="text1" w:val="000000"/>
                <w:sz w:val="18"/>
                <w:szCs w:val="18"/>
                <w:lang w:val="pl-PL"/>
              </w:rPr>
              <w:t>wykonuje problemowe zadania dotyczące ustalenia wzoru związku wielofunkcyjnego</w:t>
            </w:r>
          </w:p>
        </w:tc>
      </w:tr>
    </w:tbl>
    <w:p>
      <w:pPr>
        <w:pStyle w:val="Standard"/>
        <w:numPr>
          <w:ilvl w:val="0"/>
          <w:numId w:val="0"/>
        </w:numPr>
        <w:ind w:hanging="0" w:start="0"/>
        <w:outlineLvl w:val="0"/>
        <w:rPr>
          <w:b/>
          <w:bCs/>
          <w:color w:themeColor="text1" w:val="000000"/>
          <w:lang w:val="pl-PL"/>
        </w:rPr>
      </w:pPr>
      <w:r>
        <w:rPr>
          <w:b/>
          <w:bCs/>
          <w:color w:themeColor="text1" w:val="000000"/>
          <w:lang w:val="pl-PL"/>
        </w:rPr>
      </w:r>
    </w:p>
    <w:p>
      <w:pPr>
        <w:pStyle w:val="Normal"/>
        <w:bidi w:val="0"/>
        <w:jc w:val="start"/>
        <w:rPr>
          <w:rFonts w:eastAsia="Andale Sans UI" w:cs="Tahoma"/>
          <w:b/>
          <w:bCs/>
          <w:color w:themeColor="text1" w:val="000000"/>
          <w:kern w:val="2"/>
          <w:lang w:val="pl-PL" w:eastAsia="ja-JP" w:bidi="fa-IR"/>
        </w:rPr>
      </w:pPr>
      <w:r>
        <w:rPr>
          <w:rFonts w:eastAsia="Andale Sans UI" w:cs="Tahoma"/>
          <w:b/>
          <w:bCs/>
          <w:color w:themeColor="text1" w:val="000000"/>
          <w:kern w:val="2"/>
          <w:lang w:val="pl-PL" w:eastAsia="ja-JP" w:bidi="fa-IR"/>
        </w:rPr>
      </w:r>
    </w:p>
    <w:sectPr>
      <w:footerReference w:type="even" r:id="rId2"/>
      <w:footerReference w:type="default" r:id="rId3"/>
      <w:footerReference w:type="first" r:id="rId4"/>
      <w:type w:val="nextPage"/>
      <w:pgSz w:orient="landscape" w:w="16838" w:h="11906"/>
      <w:pgMar w:left="1418" w:right="1418" w:gutter="0" w:header="0" w:top="1418" w:footer="709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Roboto">
    <w:charset w:val="ee" w:characterSet="windows-125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end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end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start"/>
      <w:pPr>
        <w:tabs>
          <w:tab w:val="num" w:pos="0"/>
        </w:tabs>
        <w:ind w:start="170" w:hanging="170"/>
      </w:pPr>
      <w:rPr>
        <w:rFonts w:ascii="Symbol" w:hAnsi="Symbol" w:cs="Symbol" w:hint="default"/>
        <w:sz w:val="22"/>
        <w:szCs w:val="22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"/>
      <w:lvlJc w:val="start"/>
      <w:pPr>
        <w:tabs>
          <w:tab w:val="num" w:pos="0"/>
        </w:tabs>
        <w:ind w:start="2911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Standard">
    <w:name w:val="Standard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Times New Roman" w:hAnsi="Times New Roman" w:eastAsia="Andale Sans UI" w:cs="Tahoma"/>
      <w:color w:val="auto"/>
      <w:kern w:val="2"/>
      <w:sz w:val="24"/>
      <w:szCs w:val="24"/>
      <w:lang w:val="de-DE" w:eastAsia="ja-JP" w:bidi="fa-IR"/>
    </w:rPr>
  </w:style>
  <w:style w:type="paragraph" w:styleId="Zawartotabeliuser">
    <w:name w:val="Zawartość tabeli (user)"/>
    <w:basedOn w:val="Standard"/>
    <w:qFormat/>
    <w:pPr>
      <w:suppressLineNumbers/>
    </w:pPr>
    <w:rPr/>
  </w:style>
  <w:style w:type="paragraph" w:styleId="ListParagraph">
    <w:name w:val="List Paragraph"/>
    <w:basedOn w:val="Normal"/>
    <w:qFormat/>
    <w:pPr>
      <w:widowControl w:val="false"/>
      <w:suppressAutoHyphens w:val="true"/>
      <w:ind w:start="720"/>
      <w:textAlignment w:val="baseline"/>
    </w:pPr>
    <w:rPr>
      <w:rFonts w:eastAsia="Andale Sans UI" w:cs="Tahoma"/>
      <w:kern w:val="2"/>
      <w:lang w:val="de-DE" w:eastAsia="ja-JP" w:bidi="fa-IR"/>
    </w:rPr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basedOn w:val="Normal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StopkaCopyright">
    <w:name w:val="Stopka Copyright"/>
    <w:basedOn w:val="Normal"/>
    <w:qFormat/>
    <w:pPr>
      <w:jc w:val="both"/>
    </w:pPr>
    <w:rPr>
      <w:rFonts w:ascii="Roboto" w:hAnsi="Roboto" w:eastAsia="Calibri"/>
      <w:iCs/>
      <w:color w:val="000000"/>
      <w:sz w:val="16"/>
      <w:szCs w:val="18"/>
      <w:lang w:val="pl-P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LibreOffice/26.2.5.2$Windows_X86_64 LibreOffice_project/cd7284b4cbbfeb507e630c1aac019f4157393acb</Application>
  <AppVersion>15.0000</AppVersion>
  <Pages>10</Pages>
  <Words>2625</Words>
  <Characters>18546</Characters>
  <CharactersWithSpaces>20776</CharactersWithSpaces>
  <Paragraphs>228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2026-09-06T15:28:56Z</dcterms:created>
  <dc:creator/>
  <dc:description/>
  <dc:language>pl-PL</dc:language>
  <cp:lastModifiedBy/>
  <dcterms:modified xsi:type="dcterms:W3CDTF">2026-09-06T15:33:08Z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